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54DBD" w14:textId="77777777" w:rsidR="00020FE6" w:rsidRPr="00D83660" w:rsidRDefault="00020FE6" w:rsidP="00D83660">
      <w:pPr>
        <w:pStyle w:val="Heading2"/>
        <w:keepNext w:val="0"/>
        <w:keepLines w:val="0"/>
        <w:suppressAutoHyphens/>
        <w:spacing w:before="0" w:line="240" w:lineRule="auto"/>
        <w:jc w:val="both"/>
        <w:rPr>
          <w:rFonts w:ascii="Verdana" w:hAnsi="Verdana"/>
          <w:color w:val="000000"/>
          <w:sz w:val="32"/>
          <w:lang w:val="ru-RU"/>
        </w:rPr>
      </w:pPr>
      <w:r w:rsidRPr="00D83660">
        <w:rPr>
          <w:rFonts w:ascii="Verdana" w:hAnsi="Verdana"/>
          <w:color w:val="000000"/>
          <w:sz w:val="32"/>
          <w:lang w:val="ru-RU"/>
        </w:rPr>
        <w:t>Время и Дж.</w:t>
      </w:r>
      <w:r w:rsidRPr="00D83660">
        <w:rPr>
          <w:rFonts w:ascii="Verdana" w:hAnsi="Verdana"/>
          <w:color w:val="000000"/>
          <w:sz w:val="32"/>
        </w:rPr>
        <w:t> </w:t>
      </w:r>
      <w:r w:rsidRPr="00D83660">
        <w:rPr>
          <w:rFonts w:ascii="Verdana" w:hAnsi="Verdana"/>
          <w:color w:val="000000"/>
          <w:sz w:val="32"/>
          <w:lang w:val="ru-RU"/>
        </w:rPr>
        <w:t>У.</w:t>
      </w:r>
      <w:r w:rsidRPr="00D83660">
        <w:rPr>
          <w:rFonts w:ascii="Verdana" w:hAnsi="Verdana"/>
          <w:color w:val="000000"/>
          <w:sz w:val="32"/>
        </w:rPr>
        <w:t> </w:t>
      </w:r>
      <w:r w:rsidRPr="00D83660">
        <w:rPr>
          <w:rFonts w:ascii="Verdana" w:hAnsi="Verdana"/>
          <w:color w:val="000000"/>
          <w:sz w:val="32"/>
          <w:lang w:val="ru-RU"/>
        </w:rPr>
        <w:t>Данн</w:t>
      </w:r>
    </w:p>
    <w:p w14:paraId="702E2E7B" w14:textId="77777777" w:rsidR="00E93BB5" w:rsidRPr="00D83660" w:rsidRDefault="00E93BB5" w:rsidP="00D83660">
      <w:pPr>
        <w:pStyle w:val="Heading1"/>
        <w:keepNext w:val="0"/>
        <w:keepLines w:val="0"/>
        <w:suppressAutoHyphens/>
        <w:spacing w:before="0" w:line="240" w:lineRule="auto"/>
        <w:jc w:val="both"/>
        <w:rPr>
          <w:rFonts w:ascii="Verdana" w:eastAsiaTheme="minorEastAsia" w:hAnsi="Verdana"/>
          <w:b w:val="0"/>
          <w:color w:val="000000"/>
          <w:sz w:val="24"/>
          <w:lang w:val="ru-RU"/>
        </w:rPr>
      </w:pPr>
      <w:r w:rsidRPr="00D83660">
        <w:rPr>
          <w:rFonts w:ascii="Verdana" w:eastAsiaTheme="minorEastAsia" w:hAnsi="Verdana"/>
          <w:b w:val="0"/>
          <w:color w:val="000000"/>
          <w:sz w:val="24"/>
          <w:lang w:val="ru-RU"/>
        </w:rPr>
        <w:t>Хорхе Луис Борхес</w:t>
      </w:r>
    </w:p>
    <w:p w14:paraId="75D41A7B" w14:textId="77777777" w:rsidR="00020FE6" w:rsidRPr="00D83660" w:rsidRDefault="00020FE6" w:rsidP="00D8366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508E42E" w14:textId="77777777" w:rsidR="00020FE6" w:rsidRPr="00D83660" w:rsidRDefault="00020FE6" w:rsidP="00D8366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83660">
        <w:rPr>
          <w:rFonts w:ascii="Verdana" w:hAnsi="Verdana"/>
          <w:color w:val="000000"/>
          <w:sz w:val="20"/>
          <w:lang w:val="ru-RU"/>
        </w:rPr>
        <w:t>В 63-м номере журнала «Юг» (декабрь 1939 года) я опубликовал предысторию</w:t>
      </w:r>
      <w:r w:rsidRPr="00D83660">
        <w:rPr>
          <w:rFonts w:ascii="Verdana" w:hAnsi="Verdana"/>
          <w:color w:val="000000"/>
          <w:sz w:val="20"/>
        </w:rPr>
        <w:t> </w:t>
      </w:r>
      <w:r w:rsidRPr="00D83660">
        <w:rPr>
          <w:rFonts w:ascii="Verdana" w:hAnsi="Verdana"/>
          <w:color w:val="000000"/>
          <w:sz w:val="20"/>
          <w:lang w:val="ru-RU"/>
        </w:rPr>
        <w:t>— или осторожную попытку истории</w:t>
      </w:r>
      <w:r w:rsidRPr="00D83660">
        <w:rPr>
          <w:rFonts w:ascii="Verdana" w:hAnsi="Verdana"/>
          <w:color w:val="000000"/>
          <w:sz w:val="20"/>
        </w:rPr>
        <w:t> </w:t>
      </w:r>
      <w:r w:rsidRPr="00D83660">
        <w:rPr>
          <w:rFonts w:ascii="Verdana" w:hAnsi="Verdana"/>
          <w:color w:val="000000"/>
          <w:sz w:val="20"/>
          <w:lang w:val="ru-RU"/>
        </w:rPr>
        <w:t>— бесконечно убывающей прогрессии. Далеко не все упущения этого наброска были оплошностью: я намеренно обошел Дж.</w:t>
      </w:r>
      <w:r w:rsidRPr="00D83660">
        <w:rPr>
          <w:rFonts w:ascii="Verdana" w:hAnsi="Verdana"/>
          <w:color w:val="000000"/>
          <w:sz w:val="20"/>
        </w:rPr>
        <w:t> </w:t>
      </w:r>
      <w:r w:rsidRPr="00D83660">
        <w:rPr>
          <w:rFonts w:ascii="Verdana" w:hAnsi="Verdana"/>
          <w:color w:val="000000"/>
          <w:sz w:val="20"/>
          <w:lang w:val="ru-RU"/>
        </w:rPr>
        <w:t>У.</w:t>
      </w:r>
      <w:r w:rsidRPr="00D83660">
        <w:rPr>
          <w:rFonts w:ascii="Verdana" w:hAnsi="Verdana"/>
          <w:color w:val="000000"/>
          <w:sz w:val="20"/>
        </w:rPr>
        <w:t> </w:t>
      </w:r>
      <w:r w:rsidRPr="00D83660">
        <w:rPr>
          <w:rFonts w:ascii="Verdana" w:hAnsi="Verdana"/>
          <w:color w:val="000000"/>
          <w:sz w:val="20"/>
          <w:lang w:val="ru-RU"/>
        </w:rPr>
        <w:t>Данна, извлекшего из бесконечной регрессии весьма причудливую доктрину субъекта и времени. Обсуждение (простое изложение) его концепции заняло бы объем, намного превосходящий эту заметку. Замысловатость концепции требует особого места; об этом и поговорим. Написать заметку меня подтолкнула последняя книга Данна</w:t>
      </w:r>
      <w:r w:rsidRPr="00D83660">
        <w:rPr>
          <w:rFonts w:ascii="Verdana" w:hAnsi="Verdana"/>
          <w:color w:val="000000"/>
          <w:sz w:val="20"/>
        </w:rPr>
        <w:t> </w:t>
      </w:r>
      <w:r w:rsidRPr="00D83660">
        <w:rPr>
          <w:rFonts w:ascii="Verdana" w:hAnsi="Verdana"/>
          <w:color w:val="000000"/>
          <w:sz w:val="20"/>
          <w:lang w:val="ru-RU"/>
        </w:rPr>
        <w:t>— «</w:t>
      </w:r>
      <w:r w:rsidRPr="00D83660">
        <w:rPr>
          <w:rFonts w:ascii="Verdana" w:hAnsi="Verdana"/>
          <w:color w:val="000000"/>
          <w:sz w:val="20"/>
        </w:rPr>
        <w:t>Nothing</w:t>
      </w:r>
      <w:r w:rsidRPr="00D83660">
        <w:rPr>
          <w:rFonts w:ascii="Verdana" w:hAnsi="Verdana"/>
          <w:color w:val="000000"/>
          <w:sz w:val="20"/>
          <w:lang w:val="ru-RU"/>
        </w:rPr>
        <w:t xml:space="preserve"> </w:t>
      </w:r>
      <w:r w:rsidRPr="00D83660">
        <w:rPr>
          <w:rFonts w:ascii="Verdana" w:hAnsi="Verdana"/>
          <w:color w:val="000000"/>
          <w:sz w:val="20"/>
        </w:rPr>
        <w:t>Dies</w:t>
      </w:r>
      <w:r w:rsidRPr="00D83660">
        <w:rPr>
          <w:rFonts w:ascii="Verdana" w:hAnsi="Verdana"/>
          <w:color w:val="000000"/>
          <w:sz w:val="20"/>
          <w:lang w:val="ru-RU"/>
        </w:rPr>
        <w:t>»</w:t>
      </w:r>
      <w:r w:rsidRPr="00D83660">
        <w:rPr>
          <w:rFonts w:ascii="Verdana" w:hAnsi="Verdana"/>
          <w:color w:val="000000"/>
          <w:sz w:val="20"/>
          <w:vertAlign w:val="superscript"/>
        </w:rPr>
        <w:footnoteReference w:id="1"/>
      </w:r>
      <w:r w:rsidRPr="00D83660">
        <w:rPr>
          <w:rFonts w:ascii="Verdana" w:hAnsi="Verdana"/>
          <w:color w:val="000000"/>
          <w:sz w:val="20"/>
          <w:lang w:val="ru-RU"/>
        </w:rPr>
        <w:t xml:space="preserve"> (1940), повторяющая или суммирующая доводы всех предыдущих.</w:t>
      </w:r>
    </w:p>
    <w:p w14:paraId="2126B086" w14:textId="77777777" w:rsidR="00020FE6" w:rsidRPr="00D83660" w:rsidRDefault="00020FE6" w:rsidP="00D8366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83660">
        <w:rPr>
          <w:rFonts w:ascii="Verdana" w:hAnsi="Verdana"/>
          <w:color w:val="000000"/>
          <w:sz w:val="20"/>
          <w:lang w:val="ru-RU"/>
        </w:rPr>
        <w:t>Довод, собственно говоря, один. Ничего нового этот механизм в себе не содержит; неслыханно, почти невероятно другое</w:t>
      </w:r>
      <w:r w:rsidRPr="00D83660">
        <w:rPr>
          <w:rFonts w:ascii="Verdana" w:hAnsi="Verdana"/>
          <w:color w:val="000000"/>
          <w:sz w:val="20"/>
        </w:rPr>
        <w:t> </w:t>
      </w:r>
      <w:r w:rsidRPr="00D83660">
        <w:rPr>
          <w:rFonts w:ascii="Verdana" w:hAnsi="Verdana"/>
          <w:color w:val="000000"/>
          <w:sz w:val="20"/>
          <w:lang w:val="ru-RU"/>
        </w:rPr>
        <w:t>— выводы автора. Прежде чем перейти к их рассмотрению, перечислю несколько предварительных аватар, которые претерпели их предпосылки.</w:t>
      </w:r>
    </w:p>
    <w:p w14:paraId="644EC92A" w14:textId="77777777" w:rsidR="00020FE6" w:rsidRPr="00D83660" w:rsidRDefault="00020FE6" w:rsidP="00D8366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83660">
        <w:rPr>
          <w:rFonts w:ascii="Verdana" w:hAnsi="Verdana"/>
          <w:color w:val="000000"/>
          <w:sz w:val="20"/>
          <w:lang w:val="ru-RU"/>
        </w:rPr>
        <w:t>Седьмая из многочисленных философских систем Индии, зафиксированных у Пауля Дейссена</w:t>
      </w:r>
      <w:r w:rsidRPr="00D83660">
        <w:rPr>
          <w:rFonts w:ascii="Verdana" w:hAnsi="Verdana"/>
          <w:color w:val="000000"/>
          <w:sz w:val="20"/>
          <w:vertAlign w:val="superscript"/>
        </w:rPr>
        <w:footnoteReference w:id="2"/>
      </w:r>
      <w:r w:rsidRPr="00D83660">
        <w:rPr>
          <w:rFonts w:ascii="Verdana" w:hAnsi="Verdana"/>
          <w:color w:val="000000"/>
          <w:sz w:val="20"/>
          <w:lang w:val="ru-RU"/>
        </w:rPr>
        <w:t>, отрицает, что Я может служить непосредственным объектом познания, «поскольку интеллигибельность нашей души требует существования другой души, познающей первую, и третьей, познающей вторую». Индусы лишены чувства истории,</w:t>
      </w:r>
      <w:r w:rsidRPr="00D83660">
        <w:rPr>
          <w:rFonts w:ascii="Verdana" w:hAnsi="Verdana"/>
          <w:color w:val="000000"/>
          <w:sz w:val="20"/>
        </w:rPr>
        <w:t> </w:t>
      </w:r>
      <w:r w:rsidRPr="00D83660">
        <w:rPr>
          <w:rFonts w:ascii="Verdana" w:hAnsi="Verdana"/>
          <w:color w:val="000000"/>
          <w:sz w:val="20"/>
          <w:lang w:val="ru-RU"/>
        </w:rPr>
        <w:t>— иными словами, они извращенно предпочитают изучать идеи, а не имена и жизнь философов,</w:t>
      </w:r>
      <w:r w:rsidRPr="00D83660">
        <w:rPr>
          <w:rFonts w:ascii="Verdana" w:hAnsi="Verdana"/>
          <w:color w:val="000000"/>
          <w:sz w:val="20"/>
        </w:rPr>
        <w:t> </w:t>
      </w:r>
      <w:r w:rsidRPr="00D83660">
        <w:rPr>
          <w:rFonts w:ascii="Verdana" w:hAnsi="Verdana"/>
          <w:color w:val="000000"/>
          <w:sz w:val="20"/>
          <w:lang w:val="ru-RU"/>
        </w:rPr>
        <w:t>— однако, как известно, столь решительному отказу от самонаблюдения не более восьми веков. Около 1843 года его вновь открывает Шопенгауэр. «Познающий субъект,</w:t>
      </w:r>
      <w:r w:rsidRPr="00D83660">
        <w:rPr>
          <w:rFonts w:ascii="Verdana" w:hAnsi="Verdana"/>
          <w:color w:val="000000"/>
          <w:sz w:val="20"/>
        </w:rPr>
        <w:t> </w:t>
      </w:r>
      <w:r w:rsidRPr="00D83660">
        <w:rPr>
          <w:rFonts w:ascii="Verdana" w:hAnsi="Verdana"/>
          <w:color w:val="000000"/>
          <w:sz w:val="20"/>
          <w:lang w:val="ru-RU"/>
        </w:rPr>
        <w:t>— утверждает он,</w:t>
      </w:r>
      <w:r w:rsidRPr="00D83660">
        <w:rPr>
          <w:rFonts w:ascii="Verdana" w:hAnsi="Verdana"/>
          <w:color w:val="000000"/>
          <w:sz w:val="20"/>
        </w:rPr>
        <w:t> </w:t>
      </w:r>
      <w:r w:rsidRPr="00D83660">
        <w:rPr>
          <w:rFonts w:ascii="Verdana" w:hAnsi="Verdana"/>
          <w:color w:val="000000"/>
          <w:sz w:val="20"/>
          <w:lang w:val="ru-RU"/>
        </w:rPr>
        <w:t>— сам по себе непознаваем, в противном случае он превратился бы в объект познания другого познающего субъекта» («</w:t>
      </w:r>
      <w:r w:rsidRPr="00D83660">
        <w:rPr>
          <w:rFonts w:ascii="Verdana" w:hAnsi="Verdana"/>
          <w:color w:val="000000"/>
          <w:sz w:val="20"/>
        </w:rPr>
        <w:t>Welt</w:t>
      </w:r>
      <w:r w:rsidRPr="00D83660">
        <w:rPr>
          <w:rFonts w:ascii="Verdana" w:hAnsi="Verdana"/>
          <w:color w:val="000000"/>
          <w:sz w:val="20"/>
          <w:lang w:val="ru-RU"/>
        </w:rPr>
        <w:t xml:space="preserve"> </w:t>
      </w:r>
      <w:r w:rsidRPr="00D83660">
        <w:rPr>
          <w:rFonts w:ascii="Verdana" w:hAnsi="Verdana"/>
          <w:color w:val="000000"/>
          <w:sz w:val="20"/>
        </w:rPr>
        <w:t>als</w:t>
      </w:r>
      <w:r w:rsidRPr="00D83660">
        <w:rPr>
          <w:rFonts w:ascii="Verdana" w:hAnsi="Verdana"/>
          <w:color w:val="000000"/>
          <w:sz w:val="20"/>
          <w:lang w:val="ru-RU"/>
        </w:rPr>
        <w:t xml:space="preserve"> </w:t>
      </w:r>
      <w:r w:rsidRPr="00D83660">
        <w:rPr>
          <w:rFonts w:ascii="Verdana" w:hAnsi="Verdana"/>
          <w:color w:val="000000"/>
          <w:sz w:val="20"/>
        </w:rPr>
        <w:t>Wille</w:t>
      </w:r>
      <w:r w:rsidRPr="00D83660">
        <w:rPr>
          <w:rFonts w:ascii="Verdana" w:hAnsi="Verdana"/>
          <w:color w:val="000000"/>
          <w:sz w:val="20"/>
          <w:lang w:val="ru-RU"/>
        </w:rPr>
        <w:t xml:space="preserve"> </w:t>
      </w:r>
      <w:r w:rsidRPr="00D83660">
        <w:rPr>
          <w:rFonts w:ascii="Verdana" w:hAnsi="Verdana"/>
          <w:color w:val="000000"/>
          <w:sz w:val="20"/>
        </w:rPr>
        <w:t>und</w:t>
      </w:r>
      <w:r w:rsidRPr="00D83660">
        <w:rPr>
          <w:rFonts w:ascii="Verdana" w:hAnsi="Verdana"/>
          <w:color w:val="000000"/>
          <w:sz w:val="20"/>
          <w:lang w:val="ru-RU"/>
        </w:rPr>
        <w:t xml:space="preserve"> </w:t>
      </w:r>
      <w:r w:rsidRPr="00D83660">
        <w:rPr>
          <w:rFonts w:ascii="Verdana" w:hAnsi="Verdana"/>
          <w:color w:val="000000"/>
          <w:sz w:val="20"/>
        </w:rPr>
        <w:t>Vorstellung</w:t>
      </w:r>
      <w:r w:rsidRPr="00D83660">
        <w:rPr>
          <w:rFonts w:ascii="Verdana" w:hAnsi="Verdana"/>
          <w:color w:val="000000"/>
          <w:sz w:val="20"/>
          <w:lang w:val="ru-RU"/>
        </w:rPr>
        <w:t>»</w:t>
      </w:r>
      <w:r w:rsidRPr="00D83660">
        <w:rPr>
          <w:rFonts w:ascii="Verdana" w:hAnsi="Verdana"/>
          <w:color w:val="000000"/>
          <w:sz w:val="20"/>
          <w:vertAlign w:val="superscript"/>
        </w:rPr>
        <w:footnoteReference w:id="3"/>
      </w:r>
      <w:r w:rsidRPr="00D83660">
        <w:rPr>
          <w:rFonts w:ascii="Verdana" w:hAnsi="Verdana"/>
          <w:color w:val="000000"/>
          <w:sz w:val="20"/>
          <w:lang w:val="ru-RU"/>
        </w:rPr>
        <w:t>, т. 2, гл. 1). Гербарт также играл с подобным онтологическим умножением. Еще до того как ему исполнилось двадцать, он доказал, что Я неизбежно оказывается бесконечным, поскольку утверждение, будто некто сам себя познает, влечет за собой другого некто, также познающего себя, что влечет за собой третьего некто (Дейссен, «</w:t>
      </w:r>
      <w:r w:rsidRPr="00D83660">
        <w:rPr>
          <w:rFonts w:ascii="Verdana" w:hAnsi="Verdana"/>
          <w:color w:val="000000"/>
          <w:sz w:val="20"/>
        </w:rPr>
        <w:t>Die</w:t>
      </w:r>
      <w:r w:rsidRPr="00D83660">
        <w:rPr>
          <w:rFonts w:ascii="Verdana" w:hAnsi="Verdana"/>
          <w:color w:val="000000"/>
          <w:sz w:val="20"/>
          <w:lang w:val="ru-RU"/>
        </w:rPr>
        <w:t xml:space="preserve"> </w:t>
      </w:r>
      <w:r w:rsidRPr="00D83660">
        <w:rPr>
          <w:rFonts w:ascii="Verdana" w:hAnsi="Verdana"/>
          <w:color w:val="000000"/>
          <w:sz w:val="20"/>
        </w:rPr>
        <w:t>neuere</w:t>
      </w:r>
      <w:r w:rsidRPr="00D83660">
        <w:rPr>
          <w:rFonts w:ascii="Verdana" w:hAnsi="Verdana"/>
          <w:color w:val="000000"/>
          <w:sz w:val="20"/>
          <w:lang w:val="ru-RU"/>
        </w:rPr>
        <w:t xml:space="preserve"> </w:t>
      </w:r>
      <w:r w:rsidRPr="00D83660">
        <w:rPr>
          <w:rFonts w:ascii="Verdana" w:hAnsi="Verdana"/>
          <w:color w:val="000000"/>
          <w:sz w:val="20"/>
        </w:rPr>
        <w:t>Philosophic</w:t>
      </w:r>
      <w:r w:rsidRPr="00D83660">
        <w:rPr>
          <w:rFonts w:ascii="Verdana" w:hAnsi="Verdana"/>
          <w:color w:val="000000"/>
          <w:sz w:val="20"/>
          <w:lang w:val="ru-RU"/>
        </w:rPr>
        <w:t>»</w:t>
      </w:r>
      <w:r w:rsidRPr="00D83660">
        <w:rPr>
          <w:rFonts w:ascii="Verdana" w:hAnsi="Verdana"/>
          <w:color w:val="000000"/>
          <w:sz w:val="20"/>
          <w:vertAlign w:val="superscript"/>
        </w:rPr>
        <w:footnoteReference w:id="4"/>
      </w:r>
      <w:r w:rsidRPr="00D83660">
        <w:rPr>
          <w:rFonts w:ascii="Verdana" w:hAnsi="Verdana"/>
          <w:color w:val="000000"/>
          <w:sz w:val="20"/>
          <w:lang w:val="ru-RU"/>
        </w:rPr>
        <w:t>, 1920, с. 367). Приукрашенный историями, притчами, приправленный изящной иронией и диаграммами, этот сюжет и заполняет собой трактаты Данна.</w:t>
      </w:r>
    </w:p>
    <w:p w14:paraId="3D882AD9" w14:textId="77777777" w:rsidR="00020FE6" w:rsidRPr="00D83660" w:rsidRDefault="00020FE6" w:rsidP="00D8366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83660">
        <w:rPr>
          <w:rFonts w:ascii="Verdana" w:hAnsi="Verdana"/>
          <w:color w:val="000000"/>
          <w:sz w:val="20"/>
        </w:rPr>
        <w:t>В «An Experiment with Time»</w:t>
      </w:r>
      <w:r w:rsidRPr="00D83660">
        <w:rPr>
          <w:rFonts w:ascii="Verdana" w:hAnsi="Verdana"/>
          <w:color w:val="000000"/>
          <w:sz w:val="20"/>
          <w:vertAlign w:val="superscript"/>
        </w:rPr>
        <w:footnoteReference w:id="5"/>
      </w:r>
      <w:r w:rsidRPr="00D83660">
        <w:rPr>
          <w:rFonts w:ascii="Verdana" w:hAnsi="Verdana"/>
          <w:color w:val="000000"/>
          <w:sz w:val="20"/>
        </w:rPr>
        <w:t xml:space="preserve"> (гл. XXII</w:t>
      </w:r>
      <w:r w:rsidRPr="00D83660">
        <w:rPr>
          <w:rFonts w:ascii="Verdana" w:hAnsi="Verdana"/>
          <w:color w:val="000000"/>
          <w:sz w:val="20"/>
          <w:lang w:val="ru-RU"/>
        </w:rPr>
        <w:t>) утверждается, что сознающий субъект осознает не только то, что созерцает, но и другой созерцаемый им субъект А, и, следовательно, еще один субъект С, созерцаемый В... Он загадочно добавляет, что все эти бесчисленные и взаимосвязанные друг с другом субъекты располагаются не в трех измерениях пространства, но в не поддающихся исчислению измерениях времени. Прежде чем пояснить это пояснение, давайте вместе поразмыслим над этим абзацем.</w:t>
      </w:r>
    </w:p>
    <w:p w14:paraId="2BE09176" w14:textId="77777777" w:rsidR="00020FE6" w:rsidRPr="00D83660" w:rsidRDefault="00020FE6" w:rsidP="00D8366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83660">
        <w:rPr>
          <w:rFonts w:ascii="Verdana" w:hAnsi="Verdana"/>
          <w:color w:val="000000"/>
          <w:sz w:val="20"/>
          <w:lang w:val="ru-RU"/>
        </w:rPr>
        <w:t>Гексли, верный наследник английских номиналистов, настаивает, что между ощущением боли и осознанием того, что некто испытывает боль, различие лишь словесное; он высмеивает чистых метафизиков, различающих в любом ощущении «ощущающего субъекта», ощущаемый объект и этот властный персонаж</w:t>
      </w:r>
      <w:r w:rsidRPr="00D83660">
        <w:rPr>
          <w:rFonts w:ascii="Verdana" w:hAnsi="Verdana"/>
          <w:color w:val="000000"/>
          <w:sz w:val="20"/>
        </w:rPr>
        <w:t> </w:t>
      </w:r>
      <w:r w:rsidRPr="00D83660">
        <w:rPr>
          <w:rFonts w:ascii="Verdana" w:hAnsi="Verdana"/>
          <w:color w:val="000000"/>
          <w:sz w:val="20"/>
          <w:lang w:val="ru-RU"/>
        </w:rPr>
        <w:t>— Я («</w:t>
      </w:r>
      <w:r w:rsidRPr="00D83660">
        <w:rPr>
          <w:rFonts w:ascii="Verdana" w:hAnsi="Verdana"/>
          <w:color w:val="000000"/>
          <w:sz w:val="20"/>
        </w:rPr>
        <w:t>Essays</w:t>
      </w:r>
      <w:r w:rsidRPr="00D83660">
        <w:rPr>
          <w:rFonts w:ascii="Verdana" w:hAnsi="Verdana"/>
          <w:color w:val="000000"/>
          <w:sz w:val="20"/>
          <w:lang w:val="ru-RU"/>
        </w:rPr>
        <w:t>», т. 6, с. 87). Густав Спиллер («</w:t>
      </w:r>
      <w:r w:rsidRPr="00D83660">
        <w:rPr>
          <w:rFonts w:ascii="Verdana" w:hAnsi="Verdana"/>
          <w:color w:val="000000"/>
          <w:sz w:val="20"/>
        </w:rPr>
        <w:t>The</w:t>
      </w:r>
      <w:r w:rsidRPr="00D83660">
        <w:rPr>
          <w:rFonts w:ascii="Verdana" w:hAnsi="Verdana"/>
          <w:color w:val="000000"/>
          <w:sz w:val="20"/>
          <w:lang w:val="ru-RU"/>
        </w:rPr>
        <w:t xml:space="preserve"> </w:t>
      </w:r>
      <w:r w:rsidRPr="00D83660">
        <w:rPr>
          <w:rFonts w:ascii="Verdana" w:hAnsi="Verdana"/>
          <w:color w:val="000000"/>
          <w:sz w:val="20"/>
        </w:rPr>
        <w:t>Mind</w:t>
      </w:r>
      <w:r w:rsidRPr="00D83660">
        <w:rPr>
          <w:rFonts w:ascii="Verdana" w:hAnsi="Verdana"/>
          <w:color w:val="000000"/>
          <w:sz w:val="20"/>
          <w:lang w:val="ru-RU"/>
        </w:rPr>
        <w:t xml:space="preserve"> </w:t>
      </w:r>
      <w:r w:rsidRPr="00D83660">
        <w:rPr>
          <w:rFonts w:ascii="Verdana" w:hAnsi="Verdana"/>
          <w:color w:val="000000"/>
          <w:sz w:val="20"/>
        </w:rPr>
        <w:t>of</w:t>
      </w:r>
      <w:r w:rsidRPr="00D83660">
        <w:rPr>
          <w:rFonts w:ascii="Verdana" w:hAnsi="Verdana"/>
          <w:color w:val="000000"/>
          <w:sz w:val="20"/>
          <w:lang w:val="ru-RU"/>
        </w:rPr>
        <w:t xml:space="preserve"> </w:t>
      </w:r>
      <w:r w:rsidRPr="00D83660">
        <w:rPr>
          <w:rFonts w:ascii="Verdana" w:hAnsi="Verdana"/>
          <w:color w:val="000000"/>
          <w:sz w:val="20"/>
        </w:rPr>
        <w:t>Man</w:t>
      </w:r>
      <w:r w:rsidRPr="00D83660">
        <w:rPr>
          <w:rFonts w:ascii="Verdana" w:hAnsi="Verdana"/>
          <w:color w:val="000000"/>
          <w:sz w:val="20"/>
          <w:lang w:val="ru-RU"/>
        </w:rPr>
        <w:t>»</w:t>
      </w:r>
      <w:r w:rsidRPr="00D83660">
        <w:rPr>
          <w:rFonts w:ascii="Verdana" w:hAnsi="Verdana"/>
          <w:color w:val="000000"/>
          <w:sz w:val="20"/>
          <w:vertAlign w:val="superscript"/>
        </w:rPr>
        <w:footnoteReference w:id="6"/>
      </w:r>
      <w:r w:rsidRPr="00D83660">
        <w:rPr>
          <w:rFonts w:ascii="Verdana" w:hAnsi="Verdana"/>
          <w:color w:val="000000"/>
          <w:sz w:val="20"/>
          <w:lang w:val="ru-RU"/>
        </w:rPr>
        <w:t>, 1902) признает, что знание о боли и само ощущение боли</w:t>
      </w:r>
      <w:r w:rsidRPr="00D83660">
        <w:rPr>
          <w:rFonts w:ascii="Verdana" w:hAnsi="Verdana"/>
          <w:color w:val="000000"/>
          <w:sz w:val="20"/>
        </w:rPr>
        <w:t> </w:t>
      </w:r>
      <w:r w:rsidRPr="00D83660">
        <w:rPr>
          <w:rFonts w:ascii="Verdana" w:hAnsi="Verdana"/>
          <w:color w:val="000000"/>
          <w:sz w:val="20"/>
          <w:lang w:val="ru-RU"/>
        </w:rPr>
        <w:t>— две разные вещи, но предполагает, что воспринимаются они одновременно, как воспринимаются нами голос и лицо говорящего. Его соображения представляются мне заслуживающими внимания. Что же касается осознания осознания, введенного Данном, дабы учредить внутри каждого индивидуума головокружительную, пугающую иерархию субъектов, речь, подозреваю, идет здесь о последовательных (или воображаемых) состояниях первоначального субъекта. «Если духу,</w:t>
      </w:r>
      <w:r w:rsidRPr="00D83660">
        <w:rPr>
          <w:rFonts w:ascii="Verdana" w:hAnsi="Verdana"/>
          <w:color w:val="000000"/>
          <w:sz w:val="20"/>
        </w:rPr>
        <w:t> </w:t>
      </w:r>
      <w:r w:rsidRPr="00D83660">
        <w:rPr>
          <w:rFonts w:ascii="Verdana" w:hAnsi="Verdana"/>
          <w:color w:val="000000"/>
          <w:sz w:val="20"/>
          <w:lang w:val="ru-RU"/>
        </w:rPr>
        <w:t>— подчеркивает Лейбниц,</w:t>
      </w:r>
      <w:r w:rsidRPr="00D83660">
        <w:rPr>
          <w:rFonts w:ascii="Verdana" w:hAnsi="Verdana"/>
          <w:color w:val="000000"/>
          <w:sz w:val="20"/>
        </w:rPr>
        <w:t> </w:t>
      </w:r>
      <w:r w:rsidRPr="00D83660">
        <w:rPr>
          <w:rFonts w:ascii="Verdana" w:hAnsi="Verdana"/>
          <w:color w:val="000000"/>
          <w:sz w:val="20"/>
          <w:lang w:val="ru-RU"/>
        </w:rPr>
        <w:t xml:space="preserve">— пришлось бы </w:t>
      </w:r>
      <w:r w:rsidRPr="00D83660">
        <w:rPr>
          <w:rFonts w:ascii="Verdana" w:hAnsi="Verdana"/>
          <w:color w:val="000000"/>
          <w:sz w:val="20"/>
          <w:lang w:val="ru-RU"/>
        </w:rPr>
        <w:lastRenderedPageBreak/>
        <w:t>вторично помыслить о мысли, ему достаточно было бы вспомнить ощущение, чтобы помыслить его, затем помыслить о мышлении, затем о мышлении мышления и так до бесконечности» («</w:t>
      </w:r>
      <w:r w:rsidRPr="00D83660">
        <w:rPr>
          <w:rFonts w:ascii="Verdana" w:hAnsi="Verdana"/>
          <w:color w:val="000000"/>
          <w:sz w:val="20"/>
        </w:rPr>
        <w:t>Nouveaux</w:t>
      </w:r>
      <w:r w:rsidRPr="00D83660">
        <w:rPr>
          <w:rFonts w:ascii="Verdana" w:hAnsi="Verdana"/>
          <w:color w:val="000000"/>
          <w:sz w:val="20"/>
          <w:lang w:val="ru-RU"/>
        </w:rPr>
        <w:t xml:space="preserve"> </w:t>
      </w:r>
      <w:r w:rsidRPr="00D83660">
        <w:rPr>
          <w:rFonts w:ascii="Verdana" w:hAnsi="Verdana"/>
          <w:color w:val="000000"/>
          <w:sz w:val="20"/>
        </w:rPr>
        <w:t>essais</w:t>
      </w:r>
      <w:r w:rsidRPr="00D83660">
        <w:rPr>
          <w:rFonts w:ascii="Verdana" w:hAnsi="Verdana"/>
          <w:color w:val="000000"/>
          <w:sz w:val="20"/>
          <w:lang w:val="ru-RU"/>
        </w:rPr>
        <w:t xml:space="preserve"> </w:t>
      </w:r>
      <w:r w:rsidRPr="00D83660">
        <w:rPr>
          <w:rFonts w:ascii="Verdana" w:hAnsi="Verdana"/>
          <w:color w:val="000000"/>
          <w:sz w:val="20"/>
        </w:rPr>
        <w:t>sur</w:t>
      </w:r>
      <w:r w:rsidRPr="00D83660">
        <w:rPr>
          <w:rFonts w:ascii="Verdana" w:hAnsi="Verdana"/>
          <w:color w:val="000000"/>
          <w:sz w:val="20"/>
          <w:lang w:val="ru-RU"/>
        </w:rPr>
        <w:t xml:space="preserve"> </w:t>
      </w:r>
      <w:r w:rsidRPr="00D83660">
        <w:rPr>
          <w:rFonts w:ascii="Verdana" w:hAnsi="Verdana"/>
          <w:color w:val="000000"/>
          <w:sz w:val="20"/>
        </w:rPr>
        <w:t>l</w:t>
      </w:r>
      <w:r w:rsidRPr="00D83660">
        <w:rPr>
          <w:rFonts w:ascii="Verdana" w:hAnsi="Verdana"/>
          <w:color w:val="000000"/>
          <w:sz w:val="20"/>
          <w:lang w:val="ru-RU"/>
        </w:rPr>
        <w:t>'</w:t>
      </w:r>
      <w:r w:rsidRPr="00D83660">
        <w:rPr>
          <w:rFonts w:ascii="Verdana" w:hAnsi="Verdana"/>
          <w:color w:val="000000"/>
          <w:sz w:val="20"/>
        </w:rPr>
        <w:t>entendement</w:t>
      </w:r>
      <w:r w:rsidRPr="00D83660">
        <w:rPr>
          <w:rFonts w:ascii="Verdana" w:hAnsi="Verdana"/>
          <w:color w:val="000000"/>
          <w:sz w:val="20"/>
          <w:lang w:val="ru-RU"/>
        </w:rPr>
        <w:t xml:space="preserve"> </w:t>
      </w:r>
      <w:r w:rsidRPr="00D83660">
        <w:rPr>
          <w:rFonts w:ascii="Verdana" w:hAnsi="Verdana"/>
          <w:color w:val="000000"/>
          <w:sz w:val="20"/>
        </w:rPr>
        <w:t>humain</w:t>
      </w:r>
      <w:r w:rsidRPr="00D83660">
        <w:rPr>
          <w:rFonts w:ascii="Verdana" w:hAnsi="Verdana"/>
          <w:color w:val="000000"/>
          <w:sz w:val="20"/>
          <w:lang w:val="ru-RU"/>
        </w:rPr>
        <w:t>»</w:t>
      </w:r>
      <w:r w:rsidRPr="00D83660">
        <w:rPr>
          <w:rFonts w:ascii="Verdana" w:hAnsi="Verdana"/>
          <w:color w:val="000000"/>
          <w:sz w:val="20"/>
          <w:vertAlign w:val="superscript"/>
        </w:rPr>
        <w:footnoteReference w:id="7"/>
      </w:r>
      <w:r w:rsidRPr="00D83660">
        <w:rPr>
          <w:rFonts w:ascii="Verdana" w:hAnsi="Verdana"/>
          <w:color w:val="000000"/>
          <w:sz w:val="20"/>
          <w:lang w:val="ru-RU"/>
        </w:rPr>
        <w:t>, кн. 2, гл. 1).</w:t>
      </w:r>
    </w:p>
    <w:p w14:paraId="61393268" w14:textId="77777777" w:rsidR="00020FE6" w:rsidRPr="00D83660" w:rsidRDefault="00020FE6" w:rsidP="00D8366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83660">
        <w:rPr>
          <w:rFonts w:ascii="Verdana" w:hAnsi="Verdana"/>
          <w:color w:val="000000"/>
          <w:sz w:val="20"/>
          <w:lang w:val="ru-RU"/>
        </w:rPr>
        <w:t>Прием, введенный Данном для прямого оправдания бесконечного числа времен, менее убедителен, однако более изобретателен. Подобно Хуану де Мене с его «Лабиринтом»</w:t>
      </w:r>
      <w:r w:rsidRPr="00D83660">
        <w:rPr>
          <w:rFonts w:ascii="Verdana" w:hAnsi="Verdana"/>
          <w:color w:val="000000"/>
          <w:sz w:val="20"/>
          <w:vertAlign w:val="superscript"/>
        </w:rPr>
        <w:footnoteReference w:id="8"/>
      </w:r>
      <w:r w:rsidRPr="00D83660">
        <w:rPr>
          <w:rFonts w:ascii="Verdana" w:hAnsi="Verdana"/>
          <w:color w:val="000000"/>
          <w:sz w:val="20"/>
          <w:lang w:val="ru-RU"/>
        </w:rPr>
        <w:t>, подобно Успенскому с его «</w:t>
      </w:r>
      <w:r w:rsidRPr="00D83660">
        <w:rPr>
          <w:rFonts w:ascii="Verdana" w:hAnsi="Verdana"/>
          <w:color w:val="000000"/>
          <w:sz w:val="20"/>
        </w:rPr>
        <w:t>Tertium</w:t>
      </w:r>
      <w:r w:rsidRPr="00D83660">
        <w:rPr>
          <w:rFonts w:ascii="Verdana" w:hAnsi="Verdana"/>
          <w:color w:val="000000"/>
          <w:sz w:val="20"/>
          <w:lang w:val="ru-RU"/>
        </w:rPr>
        <w:t xml:space="preserve"> </w:t>
      </w:r>
      <w:r w:rsidRPr="00D83660">
        <w:rPr>
          <w:rFonts w:ascii="Verdana" w:hAnsi="Verdana"/>
          <w:color w:val="000000"/>
          <w:sz w:val="20"/>
        </w:rPr>
        <w:t>Organum</w:t>
      </w:r>
      <w:r w:rsidRPr="00D83660">
        <w:rPr>
          <w:rFonts w:ascii="Verdana" w:hAnsi="Verdana"/>
          <w:color w:val="000000"/>
          <w:sz w:val="20"/>
          <w:lang w:val="ru-RU"/>
        </w:rPr>
        <w:t>», он утверждает, что будущее</w:t>
      </w:r>
      <w:r w:rsidRPr="00D83660">
        <w:rPr>
          <w:rFonts w:ascii="Verdana" w:hAnsi="Verdana"/>
          <w:color w:val="000000"/>
          <w:sz w:val="20"/>
        </w:rPr>
        <w:t> </w:t>
      </w:r>
      <w:r w:rsidRPr="00D83660">
        <w:rPr>
          <w:rFonts w:ascii="Verdana" w:hAnsi="Verdana"/>
          <w:color w:val="000000"/>
          <w:sz w:val="20"/>
          <w:lang w:val="ru-RU"/>
        </w:rPr>
        <w:t>— со всеми своими превратностями и подробностями</w:t>
      </w:r>
      <w:r w:rsidRPr="00D83660">
        <w:rPr>
          <w:rFonts w:ascii="Verdana" w:hAnsi="Verdana"/>
          <w:color w:val="000000"/>
          <w:sz w:val="20"/>
        </w:rPr>
        <w:t> </w:t>
      </w:r>
      <w:r w:rsidRPr="00D83660">
        <w:rPr>
          <w:rFonts w:ascii="Verdana" w:hAnsi="Verdana"/>
          <w:color w:val="000000"/>
          <w:sz w:val="20"/>
          <w:lang w:val="ru-RU"/>
        </w:rPr>
        <w:t>— уже существует. По направлению к предустановленному будущему (или, как предполагает Брэдли, от него) течет абсолютная река космического времени, а может быть, смертные реки наших жизней. Это истечение, этот поток</w:t>
      </w:r>
      <w:r w:rsidRPr="00D83660">
        <w:rPr>
          <w:rFonts w:ascii="Verdana" w:hAnsi="Verdana"/>
          <w:color w:val="000000"/>
          <w:sz w:val="20"/>
        </w:rPr>
        <w:t> </w:t>
      </w:r>
      <w:r w:rsidRPr="00D83660">
        <w:rPr>
          <w:rFonts w:ascii="Verdana" w:hAnsi="Verdana"/>
          <w:color w:val="000000"/>
          <w:sz w:val="20"/>
          <w:lang w:val="ru-RU"/>
        </w:rPr>
        <w:t>— как и всякое движение</w:t>
      </w:r>
      <w:r w:rsidRPr="00D83660">
        <w:rPr>
          <w:rFonts w:ascii="Verdana" w:hAnsi="Verdana"/>
          <w:color w:val="000000"/>
          <w:sz w:val="20"/>
        </w:rPr>
        <w:t> </w:t>
      </w:r>
      <w:r w:rsidRPr="00D83660">
        <w:rPr>
          <w:rFonts w:ascii="Verdana" w:hAnsi="Verdana"/>
          <w:color w:val="000000"/>
          <w:sz w:val="20"/>
          <w:lang w:val="ru-RU"/>
        </w:rPr>
        <w:t>— требует определенного времени; так у нас появится второе время, несущее первое, третье, переносящее второе, и так до бесконечности...</w:t>
      </w:r>
      <w:r w:rsidRPr="00D83660">
        <w:rPr>
          <w:rFonts w:ascii="Verdana" w:hAnsi="Verdana"/>
          <w:color w:val="000000"/>
          <w:sz w:val="20"/>
          <w:vertAlign w:val="superscript"/>
        </w:rPr>
        <w:footnoteReference w:id="9"/>
      </w:r>
      <w:r w:rsidRPr="00D83660">
        <w:rPr>
          <w:rFonts w:ascii="Verdana" w:hAnsi="Verdana"/>
          <w:color w:val="000000"/>
          <w:sz w:val="20"/>
          <w:lang w:val="ru-RU"/>
        </w:rPr>
        <w:t xml:space="preserve"> Таков механизм, предложенный Данном. В этих гипотетических (иллюзорных) временах получают беспредельное пристанище неуловимые субъекты, размноженные очередной регрессией.</w:t>
      </w:r>
    </w:p>
    <w:p w14:paraId="6A4FB81D" w14:textId="77777777" w:rsidR="00020FE6" w:rsidRPr="00D83660" w:rsidRDefault="00020FE6" w:rsidP="00D8366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83660">
        <w:rPr>
          <w:rFonts w:ascii="Verdana" w:hAnsi="Verdana"/>
          <w:color w:val="000000"/>
          <w:sz w:val="20"/>
          <w:lang w:val="ru-RU"/>
        </w:rPr>
        <w:t>Не знаю, что подумает об этом читатель. Я не настаиваю на том, будто знаю, что есть время (не уверен даже, вещь ли оно), и вместе с тем догадываюсь, что ход времени и само время</w:t>
      </w:r>
      <w:r w:rsidRPr="00D83660">
        <w:rPr>
          <w:rFonts w:ascii="Verdana" w:hAnsi="Verdana"/>
          <w:color w:val="000000"/>
          <w:sz w:val="20"/>
        </w:rPr>
        <w:t> </w:t>
      </w:r>
      <w:r w:rsidRPr="00D83660">
        <w:rPr>
          <w:rFonts w:ascii="Verdana" w:hAnsi="Verdana"/>
          <w:color w:val="000000"/>
          <w:sz w:val="20"/>
          <w:lang w:val="ru-RU"/>
        </w:rPr>
        <w:t>— это одна загадка, а не две. Данн, по всей видимости, впадает в заблуждение, словно те рассеянные поэты, которые твердят (предположим) о луне, показывающей свой красный диск, заменяя один расплывчатый визуальный образ субъектом, глаголом и дополнением, которое есть не что иное, как едва замаскированный субъект. Данн</w:t>
      </w:r>
      <w:r w:rsidRPr="00D83660">
        <w:rPr>
          <w:rFonts w:ascii="Verdana" w:hAnsi="Verdana"/>
          <w:color w:val="000000"/>
          <w:sz w:val="20"/>
        </w:rPr>
        <w:t> </w:t>
      </w:r>
      <w:r w:rsidRPr="00D83660">
        <w:rPr>
          <w:rFonts w:ascii="Verdana" w:hAnsi="Verdana"/>
          <w:color w:val="000000"/>
          <w:sz w:val="20"/>
          <w:lang w:val="ru-RU"/>
        </w:rPr>
        <w:t>— блистательная жертва той самой порочной интеллектуальной традиции, которую возвестил Бергсон: рассматривать время как четвертое измерение пространства. Он заявляет, что будущее уже существует и мы должны перенестись в него, но этого утверждения достаточно, дабы превратить время в пространство, а затем ввести второе время (также мыслимое в форме пространства, в форме линии или реки), затем третье, тысячное... Все четыре книги Данна непрерывно твердят о «бесконечных измерениях времени»</w:t>
      </w:r>
      <w:r w:rsidRPr="00D83660">
        <w:rPr>
          <w:rFonts w:ascii="Verdana" w:hAnsi="Verdana"/>
          <w:color w:val="000000"/>
          <w:sz w:val="20"/>
          <w:vertAlign w:val="superscript"/>
        </w:rPr>
        <w:footnoteReference w:id="10"/>
      </w:r>
      <w:r w:rsidRPr="00D83660">
        <w:rPr>
          <w:rFonts w:ascii="Verdana" w:hAnsi="Verdana"/>
          <w:color w:val="000000"/>
          <w:sz w:val="20"/>
          <w:lang w:val="ru-RU"/>
        </w:rPr>
        <w:t>, но они суть измерения пространственные.</w:t>
      </w:r>
    </w:p>
    <w:p w14:paraId="0F5725CD" w14:textId="77777777" w:rsidR="00020FE6" w:rsidRPr="00D83660" w:rsidRDefault="00020FE6" w:rsidP="00D8366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83660">
        <w:rPr>
          <w:rFonts w:ascii="Verdana" w:hAnsi="Verdana"/>
          <w:color w:val="000000"/>
          <w:sz w:val="20"/>
          <w:lang w:val="ru-RU"/>
        </w:rPr>
        <w:t>Как доказать, что будущее уже существует? Данн приводит два довода: первый</w:t>
      </w:r>
      <w:r w:rsidRPr="00D83660">
        <w:rPr>
          <w:rFonts w:ascii="Verdana" w:hAnsi="Verdana"/>
          <w:color w:val="000000"/>
          <w:sz w:val="20"/>
        </w:rPr>
        <w:t> </w:t>
      </w:r>
      <w:r w:rsidRPr="00D83660">
        <w:rPr>
          <w:rFonts w:ascii="Verdana" w:hAnsi="Verdana"/>
          <w:color w:val="000000"/>
          <w:sz w:val="20"/>
          <w:lang w:val="ru-RU"/>
        </w:rPr>
        <w:t>— пророческие сны; второй</w:t>
      </w:r>
      <w:r w:rsidRPr="00D83660">
        <w:rPr>
          <w:rFonts w:ascii="Verdana" w:hAnsi="Verdana"/>
          <w:color w:val="000000"/>
          <w:sz w:val="20"/>
        </w:rPr>
        <w:t> </w:t>
      </w:r>
      <w:r w:rsidRPr="00D83660">
        <w:rPr>
          <w:rFonts w:ascii="Verdana" w:hAnsi="Verdana"/>
          <w:color w:val="000000"/>
          <w:sz w:val="20"/>
          <w:lang w:val="ru-RU"/>
        </w:rPr>
        <w:t>— относительная простота, которую придает эта гипотеза вычурнейшим и столь характерным для него схемам. Он также пытается уйти от вопроса о вечном творении...</w:t>
      </w:r>
    </w:p>
    <w:p w14:paraId="1D51E737" w14:textId="77777777" w:rsidR="00020FE6" w:rsidRPr="00D83660" w:rsidRDefault="00020FE6" w:rsidP="00D8366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83660">
        <w:rPr>
          <w:rFonts w:ascii="Verdana" w:hAnsi="Verdana"/>
          <w:color w:val="000000"/>
          <w:sz w:val="20"/>
          <w:lang w:val="ru-RU"/>
        </w:rPr>
        <w:t>Теологи определяют вечность как мгновенное, ослепительное обладание всеми моментами времени и считают ее одним из атрибутов Бога. Данн удивительным образом полагает, что вечность уже наша и наши еженощные сны</w:t>
      </w:r>
      <w:r w:rsidRPr="00D83660">
        <w:rPr>
          <w:rFonts w:ascii="Verdana" w:hAnsi="Verdana"/>
          <w:color w:val="000000"/>
          <w:sz w:val="20"/>
        </w:rPr>
        <w:t> </w:t>
      </w:r>
      <w:r w:rsidRPr="00D83660">
        <w:rPr>
          <w:rFonts w:ascii="Verdana" w:hAnsi="Verdana"/>
          <w:color w:val="000000"/>
          <w:sz w:val="20"/>
          <w:lang w:val="ru-RU"/>
        </w:rPr>
        <w:t>— тому подтверждение. В них, по его мнению, сливаются ближайшее будущее и непосредственное прошлое. Бодрствуя, мы с обычной скоростью передвигаемся в событийном времени; во сне</w:t>
      </w:r>
      <w:r w:rsidRPr="00D83660">
        <w:rPr>
          <w:rFonts w:ascii="Verdana" w:hAnsi="Verdana"/>
          <w:color w:val="000000"/>
          <w:sz w:val="20"/>
        </w:rPr>
        <w:t> </w:t>
      </w:r>
      <w:r w:rsidRPr="00D83660">
        <w:rPr>
          <w:rFonts w:ascii="Verdana" w:hAnsi="Verdana"/>
          <w:color w:val="000000"/>
          <w:sz w:val="20"/>
          <w:lang w:val="ru-RU"/>
        </w:rPr>
        <w:t>— успеваем обозреть бескрайние территории. Видеть сны</w:t>
      </w:r>
      <w:r w:rsidRPr="00D83660">
        <w:rPr>
          <w:rFonts w:ascii="Verdana" w:hAnsi="Verdana"/>
          <w:color w:val="000000"/>
          <w:sz w:val="20"/>
        </w:rPr>
        <w:t> </w:t>
      </w:r>
      <w:r w:rsidRPr="00D83660">
        <w:rPr>
          <w:rFonts w:ascii="Verdana" w:hAnsi="Verdana"/>
          <w:color w:val="000000"/>
          <w:sz w:val="20"/>
          <w:lang w:val="ru-RU"/>
        </w:rPr>
        <w:t>— значит совмещать отдельные картины увиденного и ткать с их помощью историю либо ряд историй. Мы видим образ сфинкса и магазина, придумываем, как магазин превращается в сфинкса. Человека, с которым познакомимся завтра, мы увидим с губами того, кого видели накануне вечером... (Уже Шопенгауэр писал, что жизнь и сны</w:t>
      </w:r>
      <w:r w:rsidRPr="00D83660">
        <w:rPr>
          <w:rFonts w:ascii="Verdana" w:hAnsi="Verdana"/>
          <w:color w:val="000000"/>
          <w:sz w:val="20"/>
        </w:rPr>
        <w:t> </w:t>
      </w:r>
      <w:r w:rsidRPr="00D83660">
        <w:rPr>
          <w:rFonts w:ascii="Verdana" w:hAnsi="Verdana"/>
          <w:color w:val="000000"/>
          <w:sz w:val="20"/>
          <w:lang w:val="ru-RU"/>
        </w:rPr>
        <w:t>— это страницы одной и той же книги. Читать их по порядку</w:t>
      </w:r>
      <w:r w:rsidRPr="00D83660">
        <w:rPr>
          <w:rFonts w:ascii="Verdana" w:hAnsi="Verdana"/>
          <w:color w:val="000000"/>
          <w:sz w:val="20"/>
        </w:rPr>
        <w:t> </w:t>
      </w:r>
      <w:r w:rsidRPr="00D83660">
        <w:rPr>
          <w:rFonts w:ascii="Verdana" w:hAnsi="Verdana"/>
          <w:color w:val="000000"/>
          <w:sz w:val="20"/>
          <w:lang w:val="ru-RU"/>
        </w:rPr>
        <w:t>— значит жить; перелистывать их</w:t>
      </w:r>
      <w:r w:rsidRPr="00D83660">
        <w:rPr>
          <w:rFonts w:ascii="Verdana" w:hAnsi="Verdana"/>
          <w:color w:val="000000"/>
          <w:sz w:val="20"/>
        </w:rPr>
        <w:t> </w:t>
      </w:r>
      <w:r w:rsidRPr="00D83660">
        <w:rPr>
          <w:rFonts w:ascii="Verdana" w:hAnsi="Verdana"/>
          <w:color w:val="000000"/>
          <w:sz w:val="20"/>
          <w:lang w:val="ru-RU"/>
        </w:rPr>
        <w:t>— значит грезить.)</w:t>
      </w:r>
    </w:p>
    <w:p w14:paraId="6A1FF63B" w14:textId="77777777" w:rsidR="00020FE6" w:rsidRPr="00D83660" w:rsidRDefault="00020FE6" w:rsidP="00D8366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83660">
        <w:rPr>
          <w:rFonts w:ascii="Verdana" w:hAnsi="Verdana"/>
          <w:color w:val="000000"/>
          <w:sz w:val="20"/>
          <w:lang w:val="ru-RU"/>
        </w:rPr>
        <w:t>Данн указал, что в смерти мы учимся пользоваться вечностью. Мы припоминаем все мгновения нашей жизни и соединяем их по нашей прихоти. Помогают нам в этом Шекспир, Господь, наши друзья.</w:t>
      </w:r>
    </w:p>
    <w:p w14:paraId="1A78853E" w14:textId="673619B0" w:rsidR="00187BDD" w:rsidRPr="00D83660" w:rsidRDefault="00020FE6" w:rsidP="00D8366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83660">
        <w:rPr>
          <w:rFonts w:ascii="Verdana" w:hAnsi="Verdana"/>
          <w:color w:val="000000"/>
          <w:sz w:val="20"/>
          <w:lang w:val="ru-RU"/>
        </w:rPr>
        <w:t>А после такого блистательного предположения любая оплошность автора покажется не заслуживающей внимания.</w:t>
      </w:r>
    </w:p>
    <w:sectPr w:rsidR="00187BDD" w:rsidRPr="00D83660" w:rsidSect="00D836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DFB3F" w14:textId="77777777" w:rsidR="00C13949" w:rsidRDefault="00C13949" w:rsidP="00020FE6">
      <w:pPr>
        <w:spacing w:after="0" w:line="240" w:lineRule="auto"/>
      </w:pPr>
      <w:r>
        <w:separator/>
      </w:r>
    </w:p>
  </w:endnote>
  <w:endnote w:type="continuationSeparator" w:id="0">
    <w:p w14:paraId="70C46E42" w14:textId="77777777" w:rsidR="00C13949" w:rsidRDefault="00C13949" w:rsidP="00020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7F386" w14:textId="77777777" w:rsidR="00D83660" w:rsidRDefault="00D83660" w:rsidP="004F31E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5A91074A" w14:textId="77777777" w:rsidR="00D83660" w:rsidRDefault="00D83660" w:rsidP="00D8366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76A9E" w14:textId="11C88F72" w:rsidR="00D83660" w:rsidRPr="00D83660" w:rsidRDefault="00D83660" w:rsidP="00D83660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D83660">
      <w:rPr>
        <w:rStyle w:val="PageNumber"/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8323C" w14:textId="77777777" w:rsidR="00D83660" w:rsidRDefault="00D836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41D24" w14:textId="77777777" w:rsidR="00C13949" w:rsidRDefault="00C13949" w:rsidP="00020FE6">
      <w:pPr>
        <w:spacing w:after="0" w:line="240" w:lineRule="auto"/>
      </w:pPr>
      <w:r>
        <w:separator/>
      </w:r>
    </w:p>
  </w:footnote>
  <w:footnote w:type="continuationSeparator" w:id="0">
    <w:p w14:paraId="54419564" w14:textId="77777777" w:rsidR="00C13949" w:rsidRDefault="00C13949" w:rsidP="00020FE6">
      <w:pPr>
        <w:spacing w:after="0" w:line="240" w:lineRule="auto"/>
      </w:pPr>
      <w:r>
        <w:continuationSeparator/>
      </w:r>
    </w:p>
  </w:footnote>
  <w:footnote w:id="1">
    <w:p w14:paraId="21845021" w14:textId="29F353A8" w:rsidR="00020FE6" w:rsidRDefault="00020FE6" w:rsidP="00D83660">
      <w:pPr>
        <w:pStyle w:val="FootNote"/>
        <w:spacing w:after="60"/>
        <w:ind w:firstLine="0"/>
      </w:pPr>
      <w:r w:rsidRPr="00D83660">
        <w:rPr>
          <w:vertAlign w:val="superscript"/>
        </w:rPr>
        <w:footnoteRef/>
      </w:r>
      <w:r>
        <w:t xml:space="preserve"> </w:t>
      </w:r>
      <w:r w:rsidRPr="00D83660">
        <w:rPr>
          <w:rFonts w:ascii="Calibri" w:hAnsi="Calibri" w:cs="Calibri"/>
        </w:rPr>
        <w:t>«Ничто не умирает» (</w:t>
      </w:r>
      <w:r w:rsidRPr="00D83660">
        <w:rPr>
          <w:rFonts w:ascii="Calibri" w:hAnsi="Calibri" w:cs="Calibri"/>
          <w:i/>
          <w:iCs/>
        </w:rPr>
        <w:t>англ</w:t>
      </w:r>
      <w:r w:rsidR="00D83660">
        <w:rPr>
          <w:rFonts w:ascii="Calibri" w:hAnsi="Calibri" w:cs="Calibri"/>
        </w:rPr>
        <w:t>.</w:t>
      </w:r>
      <w:r w:rsidRPr="00D83660">
        <w:rPr>
          <w:rFonts w:ascii="Calibri" w:hAnsi="Calibri" w:cs="Calibri"/>
        </w:rPr>
        <w:t>).</w:t>
      </w:r>
    </w:p>
  </w:footnote>
  <w:footnote w:id="2">
    <w:p w14:paraId="6C02B7A2" w14:textId="21F53AFA" w:rsidR="00020FE6" w:rsidRDefault="00020FE6" w:rsidP="00D83660">
      <w:pPr>
        <w:pStyle w:val="FootNote"/>
        <w:spacing w:after="60"/>
        <w:ind w:firstLine="0"/>
      </w:pPr>
      <w:r w:rsidRPr="00D83660">
        <w:rPr>
          <w:vertAlign w:val="superscript"/>
        </w:rPr>
        <w:footnoteRef/>
      </w:r>
      <w:r>
        <w:t xml:space="preserve"> </w:t>
      </w:r>
      <w:r w:rsidRPr="00D83660">
        <w:rPr>
          <w:rFonts w:ascii="Calibri" w:hAnsi="Calibri" w:cs="Calibri"/>
        </w:rPr>
        <w:t>«Nachvedishe Philosophic der Inder» («Индийская философия после эпохи вед» (</w:t>
      </w:r>
      <w:r w:rsidRPr="00D83660">
        <w:rPr>
          <w:rFonts w:ascii="Calibri" w:hAnsi="Calibri" w:cs="Calibri"/>
          <w:i/>
          <w:iCs/>
        </w:rPr>
        <w:t>нем</w:t>
      </w:r>
      <w:r w:rsidR="00D83660">
        <w:rPr>
          <w:rFonts w:ascii="Calibri" w:hAnsi="Calibri" w:cs="Calibri"/>
        </w:rPr>
        <w:t>.</w:t>
      </w:r>
      <w:r w:rsidRPr="00D83660">
        <w:rPr>
          <w:rFonts w:ascii="Calibri" w:hAnsi="Calibri" w:cs="Calibri"/>
        </w:rPr>
        <w:t>)).</w:t>
      </w:r>
    </w:p>
  </w:footnote>
  <w:footnote w:id="3">
    <w:p w14:paraId="3F4BC427" w14:textId="6E596E32" w:rsidR="00020FE6" w:rsidRDefault="00020FE6" w:rsidP="00D83660">
      <w:pPr>
        <w:pStyle w:val="FootNote"/>
        <w:spacing w:after="60"/>
        <w:ind w:firstLine="0"/>
      </w:pPr>
      <w:r w:rsidRPr="00D83660">
        <w:rPr>
          <w:vertAlign w:val="superscript"/>
        </w:rPr>
        <w:footnoteRef/>
      </w:r>
      <w:r>
        <w:t xml:space="preserve"> </w:t>
      </w:r>
      <w:r w:rsidRPr="00D83660">
        <w:rPr>
          <w:rFonts w:ascii="Calibri" w:hAnsi="Calibri" w:cs="Calibri"/>
        </w:rPr>
        <w:t>«Мир как воля и представление» (</w:t>
      </w:r>
      <w:r w:rsidRPr="00D83660">
        <w:rPr>
          <w:rFonts w:ascii="Calibri" w:hAnsi="Calibri" w:cs="Calibri"/>
          <w:i/>
          <w:iCs/>
        </w:rPr>
        <w:t>нем</w:t>
      </w:r>
      <w:r w:rsidR="00D83660">
        <w:rPr>
          <w:rFonts w:ascii="Calibri" w:hAnsi="Calibri" w:cs="Calibri"/>
        </w:rPr>
        <w:t>.</w:t>
      </w:r>
      <w:r w:rsidRPr="00D83660">
        <w:rPr>
          <w:rFonts w:ascii="Calibri" w:hAnsi="Calibri" w:cs="Calibri"/>
        </w:rPr>
        <w:t>).</w:t>
      </w:r>
    </w:p>
  </w:footnote>
  <w:footnote w:id="4">
    <w:p w14:paraId="58B0E136" w14:textId="3621892E" w:rsidR="00020FE6" w:rsidRDefault="00020FE6" w:rsidP="00D83660">
      <w:pPr>
        <w:pStyle w:val="FootNote"/>
        <w:spacing w:after="60"/>
        <w:ind w:firstLine="0"/>
      </w:pPr>
      <w:r w:rsidRPr="00D83660">
        <w:rPr>
          <w:vertAlign w:val="superscript"/>
        </w:rPr>
        <w:footnoteRef/>
      </w:r>
      <w:r>
        <w:t xml:space="preserve"> </w:t>
      </w:r>
      <w:r w:rsidRPr="00D83660">
        <w:rPr>
          <w:rFonts w:ascii="Calibri" w:hAnsi="Calibri" w:cs="Calibri"/>
        </w:rPr>
        <w:t>«Новая философия» (</w:t>
      </w:r>
      <w:r w:rsidRPr="00D83660">
        <w:rPr>
          <w:rFonts w:ascii="Calibri" w:hAnsi="Calibri" w:cs="Calibri"/>
          <w:i/>
          <w:iCs/>
        </w:rPr>
        <w:t>нем</w:t>
      </w:r>
      <w:r w:rsidR="00D83660">
        <w:rPr>
          <w:rFonts w:ascii="Calibri" w:hAnsi="Calibri" w:cs="Calibri"/>
        </w:rPr>
        <w:t>.</w:t>
      </w:r>
      <w:r w:rsidRPr="00D83660">
        <w:rPr>
          <w:rFonts w:ascii="Calibri" w:hAnsi="Calibri" w:cs="Calibri"/>
        </w:rPr>
        <w:t>).</w:t>
      </w:r>
    </w:p>
  </w:footnote>
  <w:footnote w:id="5">
    <w:p w14:paraId="14BCB4AE" w14:textId="5563B347" w:rsidR="00020FE6" w:rsidRDefault="00020FE6" w:rsidP="00D83660">
      <w:pPr>
        <w:pStyle w:val="FootNote"/>
        <w:spacing w:after="60"/>
        <w:ind w:firstLine="0"/>
      </w:pPr>
      <w:r w:rsidRPr="00D83660">
        <w:rPr>
          <w:vertAlign w:val="superscript"/>
        </w:rPr>
        <w:footnoteRef/>
      </w:r>
      <w:r>
        <w:t xml:space="preserve"> </w:t>
      </w:r>
      <w:r w:rsidRPr="00D83660">
        <w:rPr>
          <w:rFonts w:ascii="Calibri" w:hAnsi="Calibri" w:cs="Calibri"/>
        </w:rPr>
        <w:t>«Опыт над временем» (</w:t>
      </w:r>
      <w:r w:rsidRPr="00D83660">
        <w:rPr>
          <w:rFonts w:ascii="Calibri" w:hAnsi="Calibri" w:cs="Calibri"/>
          <w:i/>
          <w:iCs/>
        </w:rPr>
        <w:t>англ</w:t>
      </w:r>
      <w:r w:rsidR="00D83660">
        <w:rPr>
          <w:rFonts w:ascii="Calibri" w:hAnsi="Calibri" w:cs="Calibri"/>
        </w:rPr>
        <w:t>.</w:t>
      </w:r>
      <w:r w:rsidRPr="00D83660">
        <w:rPr>
          <w:rFonts w:ascii="Calibri" w:hAnsi="Calibri" w:cs="Calibri"/>
        </w:rPr>
        <w:t>).</w:t>
      </w:r>
    </w:p>
  </w:footnote>
  <w:footnote w:id="6">
    <w:p w14:paraId="266C2572" w14:textId="24C0B479" w:rsidR="00020FE6" w:rsidRDefault="00020FE6" w:rsidP="00D83660">
      <w:pPr>
        <w:pStyle w:val="FootNote"/>
        <w:spacing w:after="60"/>
        <w:ind w:firstLine="0"/>
      </w:pPr>
      <w:r w:rsidRPr="00D83660">
        <w:rPr>
          <w:vertAlign w:val="superscript"/>
        </w:rPr>
        <w:footnoteRef/>
      </w:r>
      <w:r>
        <w:t xml:space="preserve"> </w:t>
      </w:r>
      <w:r w:rsidRPr="00D83660">
        <w:rPr>
          <w:rFonts w:ascii="Calibri" w:hAnsi="Calibri" w:cs="Calibri"/>
        </w:rPr>
        <w:t>«Человеческое мышление» (</w:t>
      </w:r>
      <w:r w:rsidRPr="00D83660">
        <w:rPr>
          <w:rFonts w:ascii="Calibri" w:hAnsi="Calibri" w:cs="Calibri"/>
          <w:i/>
          <w:iCs/>
        </w:rPr>
        <w:t>англ</w:t>
      </w:r>
      <w:r w:rsidR="00D83660">
        <w:rPr>
          <w:rFonts w:ascii="Calibri" w:hAnsi="Calibri" w:cs="Calibri"/>
        </w:rPr>
        <w:t>.</w:t>
      </w:r>
      <w:r w:rsidRPr="00D83660">
        <w:rPr>
          <w:rFonts w:ascii="Calibri" w:hAnsi="Calibri" w:cs="Calibri"/>
        </w:rPr>
        <w:t>).</w:t>
      </w:r>
    </w:p>
  </w:footnote>
  <w:footnote w:id="7">
    <w:p w14:paraId="1DE53CAA" w14:textId="752BA87A" w:rsidR="00020FE6" w:rsidRDefault="00020FE6" w:rsidP="00D83660">
      <w:pPr>
        <w:pStyle w:val="FootNote"/>
        <w:spacing w:after="60"/>
        <w:ind w:firstLine="0"/>
      </w:pPr>
      <w:r w:rsidRPr="00D83660">
        <w:rPr>
          <w:vertAlign w:val="superscript"/>
        </w:rPr>
        <w:footnoteRef/>
      </w:r>
      <w:r>
        <w:t xml:space="preserve"> </w:t>
      </w:r>
      <w:r w:rsidRPr="00D83660">
        <w:rPr>
          <w:rFonts w:ascii="Calibri" w:hAnsi="Calibri" w:cs="Calibri"/>
        </w:rPr>
        <w:t>«Новые опыты о человеческом разумении» (</w:t>
      </w:r>
      <w:r w:rsidRPr="00D83660">
        <w:rPr>
          <w:rFonts w:ascii="Calibri" w:hAnsi="Calibri" w:cs="Calibri"/>
          <w:i/>
          <w:iCs/>
        </w:rPr>
        <w:t>франц</w:t>
      </w:r>
      <w:r w:rsidR="00D83660">
        <w:rPr>
          <w:rFonts w:ascii="Calibri" w:hAnsi="Calibri" w:cs="Calibri"/>
        </w:rPr>
        <w:t>.</w:t>
      </w:r>
      <w:r w:rsidRPr="00D83660">
        <w:rPr>
          <w:rFonts w:ascii="Calibri" w:hAnsi="Calibri" w:cs="Calibri"/>
        </w:rPr>
        <w:t>).</w:t>
      </w:r>
    </w:p>
  </w:footnote>
  <w:footnote w:id="8">
    <w:p w14:paraId="7E550CB6" w14:textId="5D5721F0" w:rsidR="00020FE6" w:rsidRDefault="00020FE6" w:rsidP="00D83660">
      <w:pPr>
        <w:pStyle w:val="FootNote"/>
        <w:spacing w:after="60"/>
        <w:ind w:firstLine="0"/>
      </w:pPr>
      <w:r w:rsidRPr="00D83660">
        <w:rPr>
          <w:vertAlign w:val="superscript"/>
        </w:rPr>
        <w:footnoteRef/>
      </w:r>
      <w:r>
        <w:t xml:space="preserve"> </w:t>
      </w:r>
      <w:r w:rsidRPr="00D83660">
        <w:rPr>
          <w:rFonts w:ascii="Calibri" w:hAnsi="Calibri" w:cs="Calibri"/>
        </w:rPr>
        <w:t>В этой поэме XV века есть видение «трех великих колес»: первого, неподвижного, иными словами, прошедшего; второго, вращающегося,</w:t>
      </w:r>
      <w:r w:rsidR="00D83660">
        <w:rPr>
          <w:rFonts w:ascii="Calibri" w:hAnsi="Calibri" w:cs="Calibri"/>
        </w:rPr>
        <w:t xml:space="preserve"> — </w:t>
      </w:r>
      <w:r w:rsidRPr="00D83660">
        <w:rPr>
          <w:rFonts w:ascii="Calibri" w:hAnsi="Calibri" w:cs="Calibri"/>
        </w:rPr>
        <w:t>настоящего; третьего, неподвижного,</w:t>
      </w:r>
      <w:r w:rsidR="00D83660">
        <w:rPr>
          <w:rFonts w:ascii="Calibri" w:hAnsi="Calibri" w:cs="Calibri"/>
        </w:rPr>
        <w:t xml:space="preserve"> — </w:t>
      </w:r>
      <w:r w:rsidRPr="00D83660">
        <w:rPr>
          <w:rFonts w:ascii="Calibri" w:hAnsi="Calibri" w:cs="Calibri"/>
        </w:rPr>
        <w:t>будущею.</w:t>
      </w:r>
    </w:p>
  </w:footnote>
  <w:footnote w:id="9">
    <w:p w14:paraId="1FD5A2D9" w14:textId="77777777" w:rsidR="00020FE6" w:rsidRDefault="00020FE6" w:rsidP="00D83660">
      <w:pPr>
        <w:pStyle w:val="FootNote"/>
        <w:spacing w:after="60"/>
        <w:ind w:firstLine="0"/>
      </w:pPr>
      <w:r w:rsidRPr="00D83660">
        <w:rPr>
          <w:vertAlign w:val="superscript"/>
        </w:rPr>
        <w:footnoteRef/>
      </w:r>
      <w:r>
        <w:t xml:space="preserve"> </w:t>
      </w:r>
      <w:r w:rsidRPr="00D83660">
        <w:rPr>
          <w:rFonts w:ascii="Calibri" w:hAnsi="Calibri" w:cs="Calibri"/>
        </w:rPr>
        <w:t>За полвека до Данна «абсурдное предположение второго времени, в котором течет, быстро или медленно, первое», было открыто и отвергнуто Шопенгауэром в его «Welt als Wille umd Vorstellung». Об этом говорится на с. 829 второго тома этой книги в историко</w:t>
      </w:r>
      <w:r w:rsidRPr="00D83660">
        <w:rPr>
          <w:rFonts w:ascii="Calibri" w:hAnsi="Calibri" w:cs="Calibri"/>
        </w:rPr>
        <w:noBreakHyphen/>
        <w:t>критическом издании Огто Вайса.</w:t>
      </w:r>
    </w:p>
  </w:footnote>
  <w:footnote w:id="10">
    <w:p w14:paraId="61D514B4" w14:textId="76C69203" w:rsidR="00020FE6" w:rsidRDefault="00020FE6" w:rsidP="00D83660">
      <w:pPr>
        <w:pStyle w:val="FootNote"/>
        <w:spacing w:after="60"/>
        <w:ind w:firstLine="0"/>
      </w:pPr>
      <w:r w:rsidRPr="00D83660">
        <w:rPr>
          <w:vertAlign w:val="superscript"/>
        </w:rPr>
        <w:footnoteRef/>
      </w:r>
      <w:r>
        <w:t xml:space="preserve"> </w:t>
      </w:r>
      <w:r w:rsidRPr="00D83660">
        <w:rPr>
          <w:rFonts w:ascii="Calibri" w:hAnsi="Calibri" w:cs="Calibri"/>
        </w:rPr>
        <w:t>Эта фраза</w:t>
      </w:r>
      <w:r w:rsidR="00D83660">
        <w:rPr>
          <w:rFonts w:ascii="Calibri" w:hAnsi="Calibri" w:cs="Calibri"/>
        </w:rPr>
        <w:t xml:space="preserve"> — </w:t>
      </w:r>
      <w:r w:rsidRPr="00D83660">
        <w:rPr>
          <w:rFonts w:ascii="Calibri" w:hAnsi="Calibri" w:cs="Calibri"/>
        </w:rPr>
        <w:t>целое открытие. В 21</w:t>
      </w:r>
      <w:r w:rsidRPr="00D83660">
        <w:rPr>
          <w:rFonts w:ascii="Calibri" w:hAnsi="Calibri" w:cs="Calibri"/>
        </w:rPr>
        <w:noBreakHyphen/>
        <w:t>й главе книги «An Experiment with Time» он говорит о том, что время может быть перпендикулярно другому.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59274" w14:textId="77777777" w:rsidR="00D83660" w:rsidRDefault="00D836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D6F30" w14:textId="1B081A49" w:rsidR="00D83660" w:rsidRPr="00D83660" w:rsidRDefault="00D83660" w:rsidP="00D83660">
    <w:pPr>
      <w:pStyle w:val="Header"/>
      <w:rPr>
        <w:rFonts w:ascii="Arial" w:hAnsi="Arial" w:cs="Arial"/>
        <w:color w:val="999999"/>
        <w:sz w:val="20"/>
        <w:lang w:val="ru-RU"/>
      </w:rPr>
    </w:pPr>
    <w:r w:rsidRPr="00D83660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52624" w14:textId="77777777" w:rsidR="00D83660" w:rsidRDefault="00D836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0FE6"/>
    <w:rsid w:val="00034616"/>
    <w:rsid w:val="0006063C"/>
    <w:rsid w:val="0015074B"/>
    <w:rsid w:val="00187BDD"/>
    <w:rsid w:val="0029639D"/>
    <w:rsid w:val="00326F90"/>
    <w:rsid w:val="00AA1D8D"/>
    <w:rsid w:val="00B47730"/>
    <w:rsid w:val="00C13949"/>
    <w:rsid w:val="00CB0664"/>
    <w:rsid w:val="00CF041C"/>
    <w:rsid w:val="00D83660"/>
    <w:rsid w:val="00E93BB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7F931D9"/>
  <w14:defaultImageDpi w14:val="300"/>
  <w15:docId w15:val="{01F7F159-0021-432F-8DD6-5DE96EDDB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ootNote">
    <w:name w:val="FootNote"/>
    <w:next w:val="Normal"/>
    <w:uiPriority w:val="99"/>
    <w:rsid w:val="00020FE6"/>
    <w:pPr>
      <w:widowControl w:val="0"/>
      <w:autoSpaceDE w:val="0"/>
      <w:autoSpaceDN w:val="0"/>
      <w:adjustRightInd w:val="0"/>
      <w:spacing w:after="0" w:line="240" w:lineRule="auto"/>
      <w:ind w:firstLine="200"/>
      <w:jc w:val="both"/>
    </w:pPr>
    <w:rPr>
      <w:rFonts w:ascii="Times New Roman" w:hAnsi="Times New Roman" w:cs="Times New Roman"/>
      <w:sz w:val="20"/>
      <w:szCs w:val="20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D836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3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960</Words>
  <Characters>6020</Characters>
  <Application>Microsoft Office Word</Application>
  <DocSecurity>0</DocSecurity>
  <Lines>100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6965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Время и Дж. У. Данн</dc:title>
  <dc:subject/>
  <dc:creator>Хорхе Луис Борхес</dc:creator>
  <cp:keywords/>
  <dc:description/>
  <cp:lastModifiedBy>Andrey Piskunov</cp:lastModifiedBy>
  <cp:revision>6</cp:revision>
  <dcterms:created xsi:type="dcterms:W3CDTF">2013-12-23T23:15:00Z</dcterms:created>
  <dcterms:modified xsi:type="dcterms:W3CDTF">2026-05-27T01:43:00Z</dcterms:modified>
  <cp:category/>
</cp:coreProperties>
</file>